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50F48" w14:textId="77777777" w:rsidR="00EF68DD" w:rsidRDefault="00E366FF">
      <w:bookmarkStart w:id="0" w:name="_GoBack"/>
      <w:bookmarkEnd w:id="0"/>
      <w:r w:rsidRPr="00151C12">
        <w:rPr>
          <w:noProof/>
        </w:rPr>
        <w:drawing>
          <wp:anchor distT="0" distB="0" distL="114300" distR="114300" simplePos="0" relativeHeight="251658241" behindDoc="1" locked="0" layoutInCell="1" allowOverlap="1" wp14:anchorId="5CC7812A" wp14:editId="6CB3095D">
            <wp:simplePos x="0" y="0"/>
            <wp:positionH relativeFrom="column">
              <wp:posOffset>-268605</wp:posOffset>
            </wp:positionH>
            <wp:positionV relativeFrom="paragraph">
              <wp:posOffset>-287655</wp:posOffset>
            </wp:positionV>
            <wp:extent cx="7239000" cy="1306830"/>
            <wp:effectExtent l="0" t="0" r="0" b="7620"/>
            <wp:wrapNone/>
            <wp:docPr id="10" name="Picture 10" descr="Internal Revenue Service&#10;Media Relations Office&#10;Washington, D.C.&#10;Media Contact: 202.317.4000&#10;Public Contact: 800.829.1040&#10;www.irs.gov/newsroom" title="New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 127272+127638+9 final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0" cy="130683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887EACA" w14:textId="77777777" w:rsidR="00EF68DD" w:rsidRPr="00EF68DD" w:rsidRDefault="00EF68DD" w:rsidP="00EF68DD"/>
    <w:p w14:paraId="0147129E" w14:textId="77777777" w:rsidR="00EF68DD" w:rsidRPr="00EF68DD" w:rsidRDefault="00EF68DD" w:rsidP="00EF68DD"/>
    <w:p w14:paraId="1EA1E99A" w14:textId="77777777" w:rsidR="00EF68DD" w:rsidRPr="00EF68DD" w:rsidRDefault="00EF68DD" w:rsidP="00EF68DD"/>
    <w:p w14:paraId="448B873F" w14:textId="77777777" w:rsidR="00EF68DD" w:rsidRPr="00EF68DD" w:rsidRDefault="0042156E" w:rsidP="00EF68DD">
      <w:r>
        <w:rPr>
          <w:noProof/>
        </w:rPr>
        <mc:AlternateContent>
          <mc:Choice Requires="wps">
            <w:drawing>
              <wp:anchor distT="0" distB="0" distL="114300" distR="114300" simplePos="0" relativeHeight="251658240" behindDoc="0" locked="0" layoutInCell="1" allowOverlap="1" wp14:anchorId="2B7B1E36" wp14:editId="2D42C6F9">
                <wp:simplePos x="0" y="0"/>
                <wp:positionH relativeFrom="column">
                  <wp:posOffset>-268605</wp:posOffset>
                </wp:positionH>
                <wp:positionV relativeFrom="paragraph">
                  <wp:posOffset>240030</wp:posOffset>
                </wp:positionV>
                <wp:extent cx="78867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886700" cy="0"/>
                        </a:xfrm>
                        <a:prstGeom prst="line">
                          <a:avLst/>
                        </a:prstGeom>
                        <a:ln w="6350">
                          <a:solidFill>
                            <a:srgbClr val="00599C"/>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77AD34C"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1.15pt,18.9pt" to="599.8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" strokecolor="#00599c" strokeweight=".5pt">
                <v:stroke joinstyle="miter"/>
              </v:line>
            </w:pict>
          </mc:Fallback>
        </mc:AlternateContent>
      </w:r>
    </w:p>
    <w:p w14:paraId="37D05A1C" w14:textId="77777777" w:rsidR="00EF68DD" w:rsidRDefault="00EF68DD" w:rsidP="00EF68DD"/>
    <w:p w14:paraId="4F1DBAA3" w14:textId="4DC157F0" w:rsidR="00EF68DD" w:rsidRPr="00764960" w:rsidRDefault="00D01020" w:rsidP="00EF68DD">
      <w:pPr>
        <w:pStyle w:val="SpecificsDate"/>
        <w:spacing w:before="0" w:after="0"/>
        <w:ind w:right="684"/>
        <w:rPr>
          <w:color w:val="auto"/>
        </w:rPr>
      </w:pPr>
      <w:r>
        <w:rPr>
          <w:color w:val="auto"/>
        </w:rPr>
        <w:t>04</w:t>
      </w:r>
      <w:r w:rsidR="00EF68DD" w:rsidRPr="00764960">
        <w:rPr>
          <w:color w:val="auto"/>
        </w:rPr>
        <w:t xml:space="preserve"> | </w:t>
      </w:r>
      <w:r w:rsidR="00357B8B">
        <w:rPr>
          <w:color w:val="auto"/>
        </w:rPr>
        <w:t>9</w:t>
      </w:r>
      <w:r w:rsidR="00EF68DD" w:rsidRPr="00764960">
        <w:rPr>
          <w:color w:val="auto"/>
        </w:rPr>
        <w:t xml:space="preserve"> | </w:t>
      </w:r>
      <w:r w:rsidR="004B23FA">
        <w:rPr>
          <w:color w:val="auto"/>
        </w:rPr>
        <w:t>20</w:t>
      </w:r>
    </w:p>
    <w:p w14:paraId="428DF095" w14:textId="77777777" w:rsidR="00FD5132" w:rsidRDefault="00FD5132" w:rsidP="00FD5132"/>
    <w:p w14:paraId="08521955" w14:textId="32C30FC2" w:rsidR="00C74543" w:rsidRPr="00C74543" w:rsidRDefault="00C74543" w:rsidP="00C74543">
      <w:pPr>
        <w:rPr>
          <w:sz w:val="28"/>
          <w:szCs w:val="28"/>
        </w:rPr>
      </w:pPr>
      <w:r w:rsidRPr="00C74543">
        <w:rPr>
          <w:b/>
          <w:bCs/>
          <w:sz w:val="28"/>
          <w:szCs w:val="28"/>
        </w:rPr>
        <w:t>IRS</w:t>
      </w:r>
      <w:r w:rsidR="00332C96">
        <w:rPr>
          <w:b/>
          <w:bCs/>
          <w:sz w:val="28"/>
          <w:szCs w:val="28"/>
        </w:rPr>
        <w:t xml:space="preserve"> provides </w:t>
      </w:r>
      <w:r w:rsidR="003867DB">
        <w:rPr>
          <w:b/>
          <w:bCs/>
          <w:sz w:val="28"/>
          <w:szCs w:val="28"/>
        </w:rPr>
        <w:t>guidance</w:t>
      </w:r>
      <w:r w:rsidR="00332C96">
        <w:rPr>
          <w:b/>
          <w:bCs/>
          <w:sz w:val="28"/>
          <w:szCs w:val="28"/>
        </w:rPr>
        <w:t xml:space="preserve"> under the CARES </w:t>
      </w:r>
      <w:r w:rsidR="00025DC9">
        <w:rPr>
          <w:b/>
          <w:bCs/>
          <w:sz w:val="28"/>
          <w:szCs w:val="28"/>
        </w:rPr>
        <w:t>A</w:t>
      </w:r>
      <w:r w:rsidR="00332C96">
        <w:rPr>
          <w:b/>
          <w:bCs/>
          <w:sz w:val="28"/>
          <w:szCs w:val="28"/>
        </w:rPr>
        <w:t xml:space="preserve">ct to taxpayers </w:t>
      </w:r>
      <w:r w:rsidR="00653F5F">
        <w:rPr>
          <w:b/>
          <w:bCs/>
          <w:sz w:val="28"/>
          <w:szCs w:val="28"/>
        </w:rPr>
        <w:t xml:space="preserve">with </w:t>
      </w:r>
      <w:r w:rsidR="00332C96">
        <w:rPr>
          <w:b/>
          <w:bCs/>
          <w:sz w:val="28"/>
          <w:szCs w:val="28"/>
        </w:rPr>
        <w:t>net operating losses</w:t>
      </w:r>
    </w:p>
    <w:p w14:paraId="26B2D3AA" w14:textId="77777777" w:rsidR="00086EB0" w:rsidRDefault="00086EB0" w:rsidP="00FD5132">
      <w:pPr>
        <w:rPr>
          <w:sz w:val="22"/>
        </w:rPr>
      </w:pPr>
    </w:p>
    <w:p w14:paraId="0EA9C88C" w14:textId="2C40130E" w:rsidR="00FD5132" w:rsidRPr="00C74543" w:rsidRDefault="00FD5132" w:rsidP="00FD5132">
      <w:pPr>
        <w:rPr>
          <w:szCs w:val="24"/>
        </w:rPr>
      </w:pPr>
      <w:r w:rsidRPr="00C74543">
        <w:rPr>
          <w:szCs w:val="24"/>
        </w:rPr>
        <w:t>IR-2020-</w:t>
      </w:r>
      <w:r w:rsidR="00357B8B">
        <w:rPr>
          <w:szCs w:val="24"/>
        </w:rPr>
        <w:t>6</w:t>
      </w:r>
      <w:r w:rsidR="00C866B2">
        <w:rPr>
          <w:szCs w:val="24"/>
        </w:rPr>
        <w:t>7</w:t>
      </w:r>
    </w:p>
    <w:p w14:paraId="74D22F2B" w14:textId="1426419B" w:rsidR="00C74543" w:rsidRPr="00C74543" w:rsidRDefault="00FD5132" w:rsidP="00C74543">
      <w:pPr>
        <w:rPr>
          <w:szCs w:val="24"/>
        </w:rPr>
      </w:pPr>
      <w:r w:rsidRPr="00C74543">
        <w:rPr>
          <w:szCs w:val="24"/>
        </w:rPr>
        <w:t> </w:t>
      </w:r>
    </w:p>
    <w:p w14:paraId="3D6E400B" w14:textId="4D99DA65" w:rsidR="002B6FAD" w:rsidRDefault="00C74543" w:rsidP="002B6FAD">
      <w:pPr>
        <w:rPr>
          <w:szCs w:val="24"/>
        </w:rPr>
      </w:pPr>
      <w:r w:rsidRPr="00C74543">
        <w:rPr>
          <w:szCs w:val="24"/>
        </w:rPr>
        <w:t>WASHINGTON –</w:t>
      </w:r>
      <w:r w:rsidR="002B6FAD" w:rsidRPr="00C74543">
        <w:rPr>
          <w:szCs w:val="24"/>
        </w:rPr>
        <w:t xml:space="preserve"> </w:t>
      </w:r>
      <w:r w:rsidR="002B6FAD">
        <w:rPr>
          <w:szCs w:val="24"/>
        </w:rPr>
        <w:t>The Internal Revenue Service today issued guidance providing tax relief under the CARES Act for taxpayers with net operating losses. Recently the IRS issued tax relief for partnerships filing amended returns.</w:t>
      </w:r>
    </w:p>
    <w:p w14:paraId="72DAD14B" w14:textId="6B6C866F" w:rsidR="00574567" w:rsidRDefault="00574567" w:rsidP="00D01020">
      <w:pPr>
        <w:rPr>
          <w:szCs w:val="24"/>
        </w:rPr>
      </w:pPr>
    </w:p>
    <w:p w14:paraId="1C83D90E" w14:textId="3325D006" w:rsidR="009450AD" w:rsidRDefault="002B6FAD" w:rsidP="00D01020">
      <w:pPr>
        <w:rPr>
          <w:szCs w:val="24"/>
        </w:rPr>
      </w:pPr>
      <w:r w:rsidRPr="002B6FAD">
        <w:rPr>
          <w:b/>
          <w:bCs/>
          <w:szCs w:val="24"/>
        </w:rPr>
        <w:t>COVID Relief for taxpayers claiming NOLs</w:t>
      </w:r>
      <w:r>
        <w:rPr>
          <w:szCs w:val="24"/>
        </w:rPr>
        <w:br/>
      </w:r>
      <w:hyperlink r:id="rId9" w:history="1">
        <w:r w:rsidR="00770DE0" w:rsidRPr="00EE07DA">
          <w:rPr>
            <w:rStyle w:val="Hyperlink"/>
            <w:szCs w:val="24"/>
          </w:rPr>
          <w:t xml:space="preserve">Revenue Procedure </w:t>
        </w:r>
        <w:r w:rsidR="009450AD" w:rsidRPr="00EE07DA">
          <w:rPr>
            <w:rStyle w:val="Hyperlink"/>
            <w:szCs w:val="24"/>
          </w:rPr>
          <w:t>2020-24</w:t>
        </w:r>
      </w:hyperlink>
      <w:r w:rsidR="009450AD">
        <w:rPr>
          <w:szCs w:val="24"/>
        </w:rPr>
        <w:t xml:space="preserve"> provides </w:t>
      </w:r>
      <w:r w:rsidR="000F1FBB">
        <w:rPr>
          <w:szCs w:val="24"/>
        </w:rPr>
        <w:t>guidance to</w:t>
      </w:r>
      <w:r w:rsidR="009450AD">
        <w:rPr>
          <w:szCs w:val="24"/>
        </w:rPr>
        <w:t xml:space="preserve"> </w:t>
      </w:r>
      <w:r w:rsidR="00025DC9">
        <w:rPr>
          <w:szCs w:val="24"/>
        </w:rPr>
        <w:t>taxpayers</w:t>
      </w:r>
      <w:r w:rsidR="00F40122">
        <w:rPr>
          <w:szCs w:val="24"/>
        </w:rPr>
        <w:t xml:space="preserve"> with net </w:t>
      </w:r>
      <w:r w:rsidR="00C616F0">
        <w:rPr>
          <w:szCs w:val="24"/>
        </w:rPr>
        <w:t xml:space="preserve">operating </w:t>
      </w:r>
      <w:r w:rsidR="00F40122">
        <w:rPr>
          <w:szCs w:val="24"/>
        </w:rPr>
        <w:t>losses</w:t>
      </w:r>
      <w:r w:rsidR="00025DC9">
        <w:rPr>
          <w:szCs w:val="24"/>
        </w:rPr>
        <w:t xml:space="preserve"> </w:t>
      </w:r>
      <w:r w:rsidR="000F1FBB">
        <w:rPr>
          <w:szCs w:val="24"/>
        </w:rPr>
        <w:t>that are carried back</w:t>
      </w:r>
      <w:r w:rsidR="009450AD">
        <w:rPr>
          <w:szCs w:val="24"/>
        </w:rPr>
        <w:t xml:space="preserve"> under the CARES </w:t>
      </w:r>
      <w:r w:rsidR="00025DC9">
        <w:rPr>
          <w:szCs w:val="24"/>
        </w:rPr>
        <w:t>Act by providing</w:t>
      </w:r>
      <w:r w:rsidR="0086655B">
        <w:rPr>
          <w:szCs w:val="24"/>
        </w:rPr>
        <w:t xml:space="preserve"> </w:t>
      </w:r>
      <w:r w:rsidR="00025DC9">
        <w:rPr>
          <w:szCs w:val="24"/>
        </w:rPr>
        <w:t>procedures for</w:t>
      </w:r>
      <w:r w:rsidR="009450AD">
        <w:rPr>
          <w:szCs w:val="24"/>
        </w:rPr>
        <w:t>:</w:t>
      </w:r>
    </w:p>
    <w:p w14:paraId="015560F6" w14:textId="43757291" w:rsidR="009450AD" w:rsidRDefault="009450AD" w:rsidP="00D01020">
      <w:pPr>
        <w:rPr>
          <w:szCs w:val="24"/>
        </w:rPr>
      </w:pPr>
    </w:p>
    <w:p w14:paraId="3C3078F6" w14:textId="73006014" w:rsidR="00AD432C" w:rsidRPr="004110B2" w:rsidRDefault="00C24E1F" w:rsidP="00AD432C">
      <w:pPr>
        <w:pStyle w:val="ListParagraph"/>
        <w:numPr>
          <w:ilvl w:val="0"/>
          <w:numId w:val="5"/>
        </w:numPr>
        <w:spacing w:after="240"/>
        <w:rPr>
          <w:szCs w:val="24"/>
        </w:rPr>
      </w:pPr>
      <w:r w:rsidRPr="004518B9">
        <w:rPr>
          <w:rFonts w:ascii="Arial" w:hAnsi="Arial" w:cs="Arial"/>
          <w:sz w:val="24"/>
          <w:szCs w:val="24"/>
        </w:rPr>
        <w:t>waiv</w:t>
      </w:r>
      <w:r>
        <w:rPr>
          <w:rFonts w:ascii="Arial" w:hAnsi="Arial" w:cs="Arial"/>
          <w:sz w:val="24"/>
          <w:szCs w:val="24"/>
        </w:rPr>
        <w:t>ing</w:t>
      </w:r>
      <w:r w:rsidRPr="004518B9">
        <w:rPr>
          <w:rFonts w:ascii="Arial" w:hAnsi="Arial" w:cs="Arial"/>
          <w:sz w:val="24"/>
          <w:szCs w:val="24"/>
        </w:rPr>
        <w:t xml:space="preserve"> </w:t>
      </w:r>
      <w:r w:rsidR="00AD432C" w:rsidRPr="004518B9">
        <w:rPr>
          <w:rFonts w:ascii="Arial" w:hAnsi="Arial" w:cs="Arial"/>
          <w:sz w:val="24"/>
          <w:szCs w:val="24"/>
        </w:rPr>
        <w:t xml:space="preserve">the carryback period </w:t>
      </w:r>
      <w:r w:rsidR="003527F5">
        <w:rPr>
          <w:rFonts w:ascii="Arial" w:hAnsi="Arial" w:cs="Arial"/>
          <w:sz w:val="24"/>
          <w:szCs w:val="24"/>
        </w:rPr>
        <w:t>in the case of</w:t>
      </w:r>
      <w:r w:rsidR="003527F5" w:rsidRPr="004518B9">
        <w:rPr>
          <w:rFonts w:ascii="Arial" w:hAnsi="Arial" w:cs="Arial"/>
          <w:sz w:val="24"/>
          <w:szCs w:val="24"/>
        </w:rPr>
        <w:t xml:space="preserve"> </w:t>
      </w:r>
      <w:r w:rsidR="00AD432C" w:rsidRPr="004518B9">
        <w:rPr>
          <w:rFonts w:ascii="Arial" w:hAnsi="Arial" w:cs="Arial"/>
          <w:sz w:val="24"/>
          <w:szCs w:val="24"/>
        </w:rPr>
        <w:t xml:space="preserve">a net operating loss arising in </w:t>
      </w:r>
      <w:r w:rsidR="00AD432C" w:rsidRPr="004518B9" w:rsidDel="008B6199">
        <w:rPr>
          <w:rFonts w:ascii="Arial" w:hAnsi="Arial" w:cs="Arial"/>
          <w:sz w:val="24"/>
          <w:szCs w:val="24"/>
        </w:rPr>
        <w:t>a taxable year beginning after Dec</w:t>
      </w:r>
      <w:r w:rsidR="00014302">
        <w:rPr>
          <w:rFonts w:ascii="Arial" w:hAnsi="Arial" w:cs="Arial"/>
          <w:sz w:val="24"/>
          <w:szCs w:val="24"/>
        </w:rPr>
        <w:t>.</w:t>
      </w:r>
      <w:r w:rsidR="00AD432C" w:rsidRPr="004518B9" w:rsidDel="008B6199">
        <w:rPr>
          <w:rFonts w:ascii="Arial" w:hAnsi="Arial" w:cs="Arial"/>
          <w:sz w:val="24"/>
          <w:szCs w:val="24"/>
        </w:rPr>
        <w:t xml:space="preserve"> 31, 2017, and before Jan</w:t>
      </w:r>
      <w:r w:rsidR="00014302">
        <w:rPr>
          <w:rFonts w:ascii="Arial" w:hAnsi="Arial" w:cs="Arial"/>
          <w:sz w:val="24"/>
          <w:szCs w:val="24"/>
        </w:rPr>
        <w:t>.</w:t>
      </w:r>
      <w:r w:rsidR="00AD432C" w:rsidRPr="004518B9" w:rsidDel="008B6199">
        <w:rPr>
          <w:rFonts w:ascii="Arial" w:hAnsi="Arial" w:cs="Arial"/>
          <w:sz w:val="24"/>
          <w:szCs w:val="24"/>
        </w:rPr>
        <w:t xml:space="preserve"> 1, 2020</w:t>
      </w:r>
      <w:r w:rsidR="00E10766">
        <w:rPr>
          <w:rFonts w:ascii="Arial" w:hAnsi="Arial" w:cs="Arial"/>
          <w:sz w:val="24"/>
          <w:szCs w:val="24"/>
        </w:rPr>
        <w:t>,</w:t>
      </w:r>
    </w:p>
    <w:p w14:paraId="1B71D5E8" w14:textId="6DAAAE73" w:rsidR="005E4DD6" w:rsidRDefault="00AF23DD" w:rsidP="005E4DD6">
      <w:pPr>
        <w:pStyle w:val="ListParagraph"/>
        <w:numPr>
          <w:ilvl w:val="0"/>
          <w:numId w:val="5"/>
        </w:numPr>
        <w:rPr>
          <w:rFonts w:ascii="Arial" w:eastAsia="Times New Roman" w:hAnsi="Arial" w:cs="Arial"/>
          <w:sz w:val="24"/>
          <w:szCs w:val="24"/>
        </w:rPr>
      </w:pPr>
      <w:r>
        <w:rPr>
          <w:rFonts w:ascii="Arial" w:eastAsia="Times New Roman" w:hAnsi="Arial" w:cs="Arial"/>
          <w:sz w:val="24"/>
          <w:szCs w:val="24"/>
        </w:rPr>
        <w:t>disregarding</w:t>
      </w:r>
      <w:r w:rsidR="00C24E1F">
        <w:rPr>
          <w:rFonts w:ascii="Arial" w:eastAsia="Times New Roman" w:hAnsi="Arial" w:cs="Arial"/>
          <w:sz w:val="24"/>
          <w:szCs w:val="24"/>
        </w:rPr>
        <w:t xml:space="preserve"> </w:t>
      </w:r>
      <w:r w:rsidR="005E4DD6">
        <w:rPr>
          <w:rFonts w:ascii="Arial" w:eastAsia="Times New Roman" w:hAnsi="Arial" w:cs="Arial"/>
          <w:sz w:val="24"/>
          <w:szCs w:val="24"/>
        </w:rPr>
        <w:t xml:space="preserve">certain </w:t>
      </w:r>
      <w:r w:rsidR="00AC197D">
        <w:rPr>
          <w:rFonts w:ascii="Arial" w:eastAsia="Times New Roman" w:hAnsi="Arial" w:cs="Arial"/>
          <w:sz w:val="24"/>
          <w:szCs w:val="24"/>
        </w:rPr>
        <w:t xml:space="preserve">amounts of </w:t>
      </w:r>
      <w:r w:rsidR="005E4DD6">
        <w:rPr>
          <w:rFonts w:ascii="Arial" w:eastAsia="Times New Roman" w:hAnsi="Arial" w:cs="Arial"/>
          <w:sz w:val="24"/>
          <w:szCs w:val="24"/>
        </w:rPr>
        <w:t xml:space="preserve">foreign income </w:t>
      </w:r>
      <w:r w:rsidR="00AC197D">
        <w:rPr>
          <w:rFonts w:ascii="Arial" w:eastAsia="Times New Roman" w:hAnsi="Arial" w:cs="Arial"/>
          <w:sz w:val="24"/>
          <w:szCs w:val="24"/>
        </w:rPr>
        <w:t xml:space="preserve">subject to transition tax </w:t>
      </w:r>
      <w:r w:rsidR="005E4DD6">
        <w:rPr>
          <w:rFonts w:ascii="Arial" w:eastAsia="Times New Roman" w:hAnsi="Arial" w:cs="Arial"/>
          <w:sz w:val="24"/>
          <w:szCs w:val="24"/>
        </w:rPr>
        <w:t xml:space="preserve">that would normally have been </w:t>
      </w:r>
      <w:r w:rsidR="00AC197D">
        <w:rPr>
          <w:rFonts w:ascii="Arial" w:eastAsia="Times New Roman" w:hAnsi="Arial" w:cs="Arial"/>
          <w:sz w:val="24"/>
          <w:szCs w:val="24"/>
        </w:rPr>
        <w:t xml:space="preserve">included </w:t>
      </w:r>
      <w:r w:rsidR="005E4DD6">
        <w:rPr>
          <w:rFonts w:ascii="Arial" w:eastAsia="Times New Roman" w:hAnsi="Arial" w:cs="Arial"/>
          <w:sz w:val="24"/>
          <w:szCs w:val="24"/>
        </w:rPr>
        <w:t xml:space="preserve">as income </w:t>
      </w:r>
      <w:r w:rsidR="00AC197D">
        <w:rPr>
          <w:rFonts w:ascii="Arial" w:eastAsia="Times New Roman" w:hAnsi="Arial" w:cs="Arial"/>
          <w:sz w:val="24"/>
          <w:szCs w:val="24"/>
        </w:rPr>
        <w:t xml:space="preserve">during </w:t>
      </w:r>
      <w:r w:rsidR="005E4DD6">
        <w:rPr>
          <w:rFonts w:ascii="Arial" w:eastAsia="Times New Roman" w:hAnsi="Arial" w:cs="Arial"/>
          <w:sz w:val="24"/>
          <w:szCs w:val="24"/>
        </w:rPr>
        <w:t xml:space="preserve">the </w:t>
      </w:r>
      <w:r w:rsidR="004D7169">
        <w:rPr>
          <w:rFonts w:ascii="Arial" w:eastAsia="Times New Roman" w:hAnsi="Arial" w:cs="Arial"/>
          <w:sz w:val="24"/>
          <w:szCs w:val="24"/>
        </w:rPr>
        <w:t xml:space="preserve">five-year </w:t>
      </w:r>
      <w:r w:rsidR="005E4DD6">
        <w:rPr>
          <w:rFonts w:ascii="Arial" w:eastAsia="Times New Roman" w:hAnsi="Arial" w:cs="Arial"/>
          <w:sz w:val="24"/>
          <w:szCs w:val="24"/>
        </w:rPr>
        <w:t>carryback period,</w:t>
      </w:r>
      <w:r w:rsidR="00950A09">
        <w:rPr>
          <w:rFonts w:ascii="Arial" w:eastAsia="Times New Roman" w:hAnsi="Arial" w:cs="Arial"/>
          <w:sz w:val="24"/>
          <w:szCs w:val="24"/>
        </w:rPr>
        <w:t xml:space="preserve"> </w:t>
      </w:r>
      <w:r w:rsidR="005F0CC8">
        <w:rPr>
          <w:rFonts w:ascii="Arial" w:eastAsia="Times New Roman" w:hAnsi="Arial" w:cs="Arial"/>
          <w:sz w:val="24"/>
          <w:szCs w:val="24"/>
        </w:rPr>
        <w:t>and</w:t>
      </w:r>
    </w:p>
    <w:p w14:paraId="7F4DF1A3" w14:textId="6C3BED9B" w:rsidR="009450AD" w:rsidRPr="009450AD" w:rsidRDefault="009450AD" w:rsidP="00D01020">
      <w:pPr>
        <w:rPr>
          <w:szCs w:val="24"/>
        </w:rPr>
      </w:pPr>
    </w:p>
    <w:p w14:paraId="521739BC" w14:textId="2463A896" w:rsidR="009450AD" w:rsidRPr="004518B9" w:rsidRDefault="003D4A37" w:rsidP="003D4A37">
      <w:pPr>
        <w:pStyle w:val="ListParagraph"/>
        <w:numPr>
          <w:ilvl w:val="0"/>
          <w:numId w:val="4"/>
        </w:numPr>
        <w:rPr>
          <w:szCs w:val="24"/>
        </w:rPr>
      </w:pPr>
      <w:r>
        <w:rPr>
          <w:rFonts w:ascii="Arial" w:hAnsi="Arial" w:cs="Arial"/>
          <w:sz w:val="24"/>
          <w:szCs w:val="24"/>
        </w:rPr>
        <w:t>waiv</w:t>
      </w:r>
      <w:r w:rsidR="00C24E1F">
        <w:rPr>
          <w:rFonts w:ascii="Arial" w:hAnsi="Arial" w:cs="Arial"/>
          <w:sz w:val="24"/>
          <w:szCs w:val="24"/>
        </w:rPr>
        <w:t>ing</w:t>
      </w:r>
      <w:r>
        <w:rPr>
          <w:rFonts w:ascii="Arial" w:hAnsi="Arial" w:cs="Arial"/>
          <w:sz w:val="24"/>
          <w:szCs w:val="24"/>
        </w:rPr>
        <w:t xml:space="preserve"> a carryback period, reduc</w:t>
      </w:r>
      <w:r w:rsidR="00C24E1F">
        <w:rPr>
          <w:rFonts w:ascii="Arial" w:hAnsi="Arial" w:cs="Arial"/>
          <w:sz w:val="24"/>
          <w:szCs w:val="24"/>
        </w:rPr>
        <w:t>ing</w:t>
      </w:r>
      <w:r>
        <w:rPr>
          <w:rFonts w:ascii="Arial" w:hAnsi="Arial" w:cs="Arial"/>
          <w:sz w:val="24"/>
          <w:szCs w:val="24"/>
        </w:rPr>
        <w:t xml:space="preserve"> a</w:t>
      </w:r>
      <w:r w:rsidR="004110B2" w:rsidRPr="004110B2">
        <w:rPr>
          <w:rFonts w:ascii="Arial" w:hAnsi="Arial" w:cs="Arial"/>
          <w:sz w:val="24"/>
          <w:szCs w:val="24"/>
        </w:rPr>
        <w:t xml:space="preserve"> carryback period, or</w:t>
      </w:r>
      <w:r>
        <w:rPr>
          <w:rFonts w:ascii="Arial" w:hAnsi="Arial" w:cs="Arial"/>
          <w:sz w:val="24"/>
          <w:szCs w:val="24"/>
        </w:rPr>
        <w:t xml:space="preserve"> revok</w:t>
      </w:r>
      <w:r w:rsidR="00C24E1F">
        <w:rPr>
          <w:rFonts w:ascii="Arial" w:hAnsi="Arial" w:cs="Arial"/>
          <w:sz w:val="24"/>
          <w:szCs w:val="24"/>
        </w:rPr>
        <w:t>ing</w:t>
      </w:r>
      <w:r>
        <w:rPr>
          <w:rFonts w:ascii="Arial" w:hAnsi="Arial" w:cs="Arial"/>
          <w:sz w:val="24"/>
          <w:szCs w:val="24"/>
        </w:rPr>
        <w:t xml:space="preserve"> an election to waive a</w:t>
      </w:r>
      <w:r w:rsidR="004110B2" w:rsidRPr="004110B2">
        <w:rPr>
          <w:rFonts w:ascii="Arial" w:hAnsi="Arial" w:cs="Arial"/>
          <w:sz w:val="24"/>
          <w:szCs w:val="24"/>
        </w:rPr>
        <w:t xml:space="preserve"> carryback period </w:t>
      </w:r>
      <w:r w:rsidRPr="003D4A37">
        <w:rPr>
          <w:rFonts w:ascii="Arial" w:hAnsi="Arial" w:cs="Arial"/>
          <w:sz w:val="24"/>
          <w:szCs w:val="24"/>
        </w:rPr>
        <w:t>for a taxable year that began before Jan</w:t>
      </w:r>
      <w:r w:rsidR="00014302">
        <w:rPr>
          <w:rFonts w:ascii="Arial" w:hAnsi="Arial" w:cs="Arial"/>
          <w:sz w:val="24"/>
          <w:szCs w:val="24"/>
        </w:rPr>
        <w:t>.</w:t>
      </w:r>
      <w:r w:rsidRPr="003D4A37">
        <w:rPr>
          <w:rFonts w:ascii="Arial" w:hAnsi="Arial" w:cs="Arial"/>
          <w:sz w:val="24"/>
          <w:szCs w:val="24"/>
        </w:rPr>
        <w:t xml:space="preserve"> 1, 2018, and ended after Dec</w:t>
      </w:r>
      <w:r w:rsidR="00014302">
        <w:rPr>
          <w:rFonts w:ascii="Arial" w:hAnsi="Arial" w:cs="Arial"/>
          <w:sz w:val="24"/>
          <w:szCs w:val="24"/>
        </w:rPr>
        <w:t>.</w:t>
      </w:r>
      <w:r w:rsidRPr="003D4A37">
        <w:rPr>
          <w:rFonts w:ascii="Arial" w:hAnsi="Arial" w:cs="Arial"/>
          <w:sz w:val="24"/>
          <w:szCs w:val="24"/>
        </w:rPr>
        <w:t xml:space="preserve"> 31, 2017</w:t>
      </w:r>
      <w:r w:rsidR="009450AD" w:rsidRPr="004518B9">
        <w:rPr>
          <w:rFonts w:ascii="Arial" w:hAnsi="Arial" w:cs="Arial"/>
          <w:sz w:val="24"/>
          <w:szCs w:val="24"/>
        </w:rPr>
        <w:t>.</w:t>
      </w:r>
    </w:p>
    <w:p w14:paraId="30967605" w14:textId="13A6AC81" w:rsidR="006D3C5F" w:rsidRDefault="006D3C5F" w:rsidP="00D01020">
      <w:pPr>
        <w:rPr>
          <w:szCs w:val="24"/>
        </w:rPr>
      </w:pPr>
      <w:r>
        <w:rPr>
          <w:szCs w:val="24"/>
        </w:rPr>
        <w:br/>
      </w:r>
      <w:r w:rsidR="002B6FAD" w:rsidRPr="002B6FAD">
        <w:rPr>
          <w:b/>
          <w:bCs/>
          <w:szCs w:val="24"/>
        </w:rPr>
        <w:t>Six month extension of time for filing NOL forms</w:t>
      </w:r>
      <w:r w:rsidR="002B6FAD">
        <w:rPr>
          <w:szCs w:val="24"/>
        </w:rPr>
        <w:br/>
      </w:r>
      <w:r w:rsidR="00770DE0">
        <w:rPr>
          <w:szCs w:val="24"/>
        </w:rPr>
        <w:t xml:space="preserve">In </w:t>
      </w:r>
      <w:hyperlink r:id="rId10" w:history="1">
        <w:r w:rsidR="00770DE0" w:rsidRPr="00EE07DA">
          <w:rPr>
            <w:rStyle w:val="Hyperlink"/>
            <w:szCs w:val="24"/>
          </w:rPr>
          <w:t>Notice 2020-26</w:t>
        </w:r>
      </w:hyperlink>
      <w:r w:rsidR="00770DE0">
        <w:rPr>
          <w:szCs w:val="24"/>
        </w:rPr>
        <w:t>, the IRS grant</w:t>
      </w:r>
      <w:r w:rsidR="00570A83">
        <w:rPr>
          <w:szCs w:val="24"/>
        </w:rPr>
        <w:t>s</w:t>
      </w:r>
      <w:r w:rsidR="00770DE0">
        <w:rPr>
          <w:szCs w:val="24"/>
        </w:rPr>
        <w:t xml:space="preserve"> a six-month extension of time to file Form 1045 or Form 1139, as applicable, </w:t>
      </w:r>
      <w:r w:rsidR="002675E3" w:rsidRPr="00ED20F3">
        <w:rPr>
          <w:szCs w:val="24"/>
        </w:rPr>
        <w:t>with respect to the carryback of a</w:t>
      </w:r>
      <w:r w:rsidR="002675E3">
        <w:rPr>
          <w:szCs w:val="24"/>
        </w:rPr>
        <w:t xml:space="preserve"> net operating loss</w:t>
      </w:r>
      <w:r w:rsidR="002675E3" w:rsidRPr="00ED20F3">
        <w:rPr>
          <w:szCs w:val="24"/>
        </w:rPr>
        <w:t xml:space="preserve"> that arose in any taxable year that began during calendar year 2018 and that ended on or before June 30, 2019.</w:t>
      </w:r>
      <w:r w:rsidR="00770DE0">
        <w:rPr>
          <w:szCs w:val="24"/>
        </w:rPr>
        <w:t xml:space="preserve">  Individuals, trusts</w:t>
      </w:r>
      <w:r w:rsidR="002675E3">
        <w:rPr>
          <w:szCs w:val="24"/>
        </w:rPr>
        <w:t>,</w:t>
      </w:r>
      <w:r w:rsidR="00770DE0">
        <w:rPr>
          <w:szCs w:val="24"/>
        </w:rPr>
        <w:t xml:space="preserve"> and estates would file </w:t>
      </w:r>
      <w:hyperlink r:id="rId11" w:history="1">
        <w:r w:rsidR="00770DE0" w:rsidRPr="00770DE0">
          <w:rPr>
            <w:rStyle w:val="Hyperlink"/>
            <w:szCs w:val="24"/>
          </w:rPr>
          <w:t>Form 1045</w:t>
        </w:r>
      </w:hyperlink>
      <w:r w:rsidR="00770DE0">
        <w:rPr>
          <w:szCs w:val="24"/>
        </w:rPr>
        <w:t xml:space="preserve">, </w:t>
      </w:r>
      <w:r w:rsidR="00E05EC1">
        <w:rPr>
          <w:szCs w:val="24"/>
        </w:rPr>
        <w:t xml:space="preserve">and </w:t>
      </w:r>
      <w:r w:rsidR="00770DE0">
        <w:rPr>
          <w:szCs w:val="24"/>
        </w:rPr>
        <w:t xml:space="preserve">corporations would file </w:t>
      </w:r>
      <w:hyperlink r:id="rId12" w:history="1">
        <w:r w:rsidR="00770DE0" w:rsidRPr="00770DE0">
          <w:rPr>
            <w:rStyle w:val="Hyperlink"/>
            <w:szCs w:val="24"/>
          </w:rPr>
          <w:t>Form 1139</w:t>
        </w:r>
      </w:hyperlink>
      <w:r w:rsidR="00770DE0">
        <w:rPr>
          <w:szCs w:val="24"/>
        </w:rPr>
        <w:t xml:space="preserve">. </w:t>
      </w:r>
    </w:p>
    <w:p w14:paraId="2BDE737F" w14:textId="10019E1D" w:rsidR="00770DE0" w:rsidRDefault="00770DE0" w:rsidP="00D01020">
      <w:pPr>
        <w:rPr>
          <w:szCs w:val="24"/>
        </w:rPr>
      </w:pPr>
    </w:p>
    <w:p w14:paraId="512E920A" w14:textId="59F883A1" w:rsidR="00770DE0" w:rsidRDefault="002B6FAD" w:rsidP="00D01020">
      <w:pPr>
        <w:rPr>
          <w:szCs w:val="24"/>
        </w:rPr>
      </w:pPr>
      <w:r w:rsidRPr="002B6FAD">
        <w:rPr>
          <w:b/>
          <w:bCs/>
          <w:szCs w:val="24"/>
        </w:rPr>
        <w:t>COVID relief for partnerships with NOLs</w:t>
      </w:r>
      <w:r>
        <w:rPr>
          <w:szCs w:val="24"/>
        </w:rPr>
        <w:br/>
      </w:r>
      <w:r w:rsidR="00A1046B">
        <w:rPr>
          <w:szCs w:val="24"/>
        </w:rPr>
        <w:t xml:space="preserve">On April 8, </w:t>
      </w:r>
      <w:r w:rsidR="007C2AB2">
        <w:rPr>
          <w:szCs w:val="24"/>
        </w:rPr>
        <w:t>2020,</w:t>
      </w:r>
      <w:r w:rsidR="00A1046B">
        <w:rPr>
          <w:szCs w:val="24"/>
        </w:rPr>
        <w:t xml:space="preserve"> the IRS issued </w:t>
      </w:r>
      <w:hyperlink r:id="rId13" w:history="1">
        <w:r w:rsidR="00A1046B" w:rsidRPr="00E509C5">
          <w:rPr>
            <w:rStyle w:val="Hyperlink"/>
            <w:szCs w:val="24"/>
          </w:rPr>
          <w:t>Revenue Procedure 2020-23</w:t>
        </w:r>
      </w:hyperlink>
      <w:r w:rsidR="00772AF6">
        <w:rPr>
          <w:rStyle w:val="Hyperlink"/>
          <w:szCs w:val="24"/>
        </w:rPr>
        <w:t>,</w:t>
      </w:r>
      <w:r w:rsidR="00A1046B">
        <w:rPr>
          <w:szCs w:val="24"/>
        </w:rPr>
        <w:t xml:space="preserve"> allowing eligible partnerships to file amended partnership returns using a Form 1065, U.S. Return of Partnership Income, by checking </w:t>
      </w:r>
      <w:r w:rsidR="00772AF6">
        <w:rPr>
          <w:szCs w:val="24"/>
        </w:rPr>
        <w:t xml:space="preserve">the </w:t>
      </w:r>
      <w:r w:rsidR="00A1046B">
        <w:rPr>
          <w:szCs w:val="24"/>
        </w:rPr>
        <w:t>“Amended Return” box and issuing amended Schedules K-1, Partner’s Share of Income, Deductions, Credits, to each of its partners. Partnerships filing these amended returns should write “FILED PURSUANT TO REV PROC 2020-23” at the top of the amended return.</w:t>
      </w:r>
    </w:p>
    <w:p w14:paraId="6CC7A5A3" w14:textId="422A49F6" w:rsidR="002B6FAD" w:rsidRDefault="002B6FAD" w:rsidP="00D01020">
      <w:pPr>
        <w:rPr>
          <w:szCs w:val="24"/>
        </w:rPr>
      </w:pPr>
    </w:p>
    <w:p w14:paraId="6B6443FF" w14:textId="48672697" w:rsidR="002B6FAD" w:rsidRDefault="002B6FAD" w:rsidP="002B6FAD">
      <w:pPr>
        <w:jc w:val="center"/>
        <w:rPr>
          <w:szCs w:val="24"/>
        </w:rPr>
      </w:pPr>
      <w:r>
        <w:rPr>
          <w:szCs w:val="24"/>
        </w:rPr>
        <w:t>-30-</w:t>
      </w:r>
    </w:p>
    <w:sectPr w:rsidR="002B6FAD" w:rsidSect="002B6FAD">
      <w:pgSz w:w="12240" w:h="15840"/>
      <w:pgMar w:top="1008" w:right="1152" w:bottom="63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22C2F"/>
    <w:multiLevelType w:val="hybridMultilevel"/>
    <w:tmpl w:val="8C14576E"/>
    <w:lvl w:ilvl="0" w:tplc="04090001">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211D7B"/>
    <w:multiLevelType w:val="hybridMultilevel"/>
    <w:tmpl w:val="49C09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4909A1"/>
    <w:multiLevelType w:val="hybridMultilevel"/>
    <w:tmpl w:val="46AA7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9B73EA"/>
    <w:multiLevelType w:val="hybridMultilevel"/>
    <w:tmpl w:val="41EEA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DD"/>
    <w:rsid w:val="00014302"/>
    <w:rsid w:val="00025DC9"/>
    <w:rsid w:val="000431BD"/>
    <w:rsid w:val="00043FAB"/>
    <w:rsid w:val="00051BBD"/>
    <w:rsid w:val="00055290"/>
    <w:rsid w:val="00067B63"/>
    <w:rsid w:val="00086077"/>
    <w:rsid w:val="00086EB0"/>
    <w:rsid w:val="00097BAB"/>
    <w:rsid w:val="000F1FBB"/>
    <w:rsid w:val="001035D0"/>
    <w:rsid w:val="00121D1F"/>
    <w:rsid w:val="001306B8"/>
    <w:rsid w:val="00133B12"/>
    <w:rsid w:val="00142492"/>
    <w:rsid w:val="00143C8B"/>
    <w:rsid w:val="001502C0"/>
    <w:rsid w:val="00153430"/>
    <w:rsid w:val="001824EA"/>
    <w:rsid w:val="00186C59"/>
    <w:rsid w:val="00195D09"/>
    <w:rsid w:val="001B63E2"/>
    <w:rsid w:val="001D25F9"/>
    <w:rsid w:val="001F6D8A"/>
    <w:rsid w:val="002030FF"/>
    <w:rsid w:val="00204DC2"/>
    <w:rsid w:val="00205004"/>
    <w:rsid w:val="002303B3"/>
    <w:rsid w:val="002321B7"/>
    <w:rsid w:val="002675E3"/>
    <w:rsid w:val="002750CC"/>
    <w:rsid w:val="0028448B"/>
    <w:rsid w:val="00285357"/>
    <w:rsid w:val="00286CF3"/>
    <w:rsid w:val="00292112"/>
    <w:rsid w:val="00293A8F"/>
    <w:rsid w:val="00296E67"/>
    <w:rsid w:val="002A3693"/>
    <w:rsid w:val="002B6FAD"/>
    <w:rsid w:val="002C2BBC"/>
    <w:rsid w:val="002C6BEA"/>
    <w:rsid w:val="002D6B88"/>
    <w:rsid w:val="002F1734"/>
    <w:rsid w:val="002F336B"/>
    <w:rsid w:val="00320E35"/>
    <w:rsid w:val="00331BF3"/>
    <w:rsid w:val="00332C96"/>
    <w:rsid w:val="003527F5"/>
    <w:rsid w:val="00352AC7"/>
    <w:rsid w:val="00355CF8"/>
    <w:rsid w:val="00357B8B"/>
    <w:rsid w:val="003739EF"/>
    <w:rsid w:val="003867DB"/>
    <w:rsid w:val="003B399A"/>
    <w:rsid w:val="003B5A8B"/>
    <w:rsid w:val="003C0F56"/>
    <w:rsid w:val="003C4503"/>
    <w:rsid w:val="003C71BE"/>
    <w:rsid w:val="003D4322"/>
    <w:rsid w:val="003D4A37"/>
    <w:rsid w:val="003E3578"/>
    <w:rsid w:val="003E7198"/>
    <w:rsid w:val="004110B2"/>
    <w:rsid w:val="0042156E"/>
    <w:rsid w:val="004518B9"/>
    <w:rsid w:val="0045267A"/>
    <w:rsid w:val="00476C7B"/>
    <w:rsid w:val="004B23FA"/>
    <w:rsid w:val="004B636C"/>
    <w:rsid w:val="004C53CB"/>
    <w:rsid w:val="004D0BCD"/>
    <w:rsid w:val="004D7169"/>
    <w:rsid w:val="004F0FB1"/>
    <w:rsid w:val="004F1956"/>
    <w:rsid w:val="005622FF"/>
    <w:rsid w:val="00570A83"/>
    <w:rsid w:val="00574567"/>
    <w:rsid w:val="005768BF"/>
    <w:rsid w:val="00587FB0"/>
    <w:rsid w:val="005941A5"/>
    <w:rsid w:val="005972C5"/>
    <w:rsid w:val="005C187B"/>
    <w:rsid w:val="005D28CB"/>
    <w:rsid w:val="005E4DD6"/>
    <w:rsid w:val="005F0CC8"/>
    <w:rsid w:val="005F324E"/>
    <w:rsid w:val="005F43E7"/>
    <w:rsid w:val="005F69C5"/>
    <w:rsid w:val="00630301"/>
    <w:rsid w:val="00640B1E"/>
    <w:rsid w:val="00641344"/>
    <w:rsid w:val="00653F5F"/>
    <w:rsid w:val="00656A40"/>
    <w:rsid w:val="00687F40"/>
    <w:rsid w:val="006B273F"/>
    <w:rsid w:val="006B4765"/>
    <w:rsid w:val="006B4CEC"/>
    <w:rsid w:val="006D3C5F"/>
    <w:rsid w:val="006D3E40"/>
    <w:rsid w:val="006D5D4B"/>
    <w:rsid w:val="006D6FE1"/>
    <w:rsid w:val="006F0397"/>
    <w:rsid w:val="007032BC"/>
    <w:rsid w:val="00703EBC"/>
    <w:rsid w:val="0072691D"/>
    <w:rsid w:val="00733003"/>
    <w:rsid w:val="007445D2"/>
    <w:rsid w:val="00763F7D"/>
    <w:rsid w:val="00764960"/>
    <w:rsid w:val="00770DE0"/>
    <w:rsid w:val="00772AF6"/>
    <w:rsid w:val="00772E99"/>
    <w:rsid w:val="007734DB"/>
    <w:rsid w:val="007A3DCD"/>
    <w:rsid w:val="007C2AB2"/>
    <w:rsid w:val="007C5994"/>
    <w:rsid w:val="007C776A"/>
    <w:rsid w:val="007E1C41"/>
    <w:rsid w:val="007E2D2F"/>
    <w:rsid w:val="007F560C"/>
    <w:rsid w:val="00810DC9"/>
    <w:rsid w:val="00815037"/>
    <w:rsid w:val="008310B4"/>
    <w:rsid w:val="00846909"/>
    <w:rsid w:val="008610D8"/>
    <w:rsid w:val="0086655B"/>
    <w:rsid w:val="00883704"/>
    <w:rsid w:val="008A162D"/>
    <w:rsid w:val="008A6D41"/>
    <w:rsid w:val="008B3301"/>
    <w:rsid w:val="008B6199"/>
    <w:rsid w:val="008C217B"/>
    <w:rsid w:val="008C2330"/>
    <w:rsid w:val="008C2566"/>
    <w:rsid w:val="008D41E3"/>
    <w:rsid w:val="008F428E"/>
    <w:rsid w:val="008F6F64"/>
    <w:rsid w:val="00901EFF"/>
    <w:rsid w:val="00912155"/>
    <w:rsid w:val="0091674C"/>
    <w:rsid w:val="00925D18"/>
    <w:rsid w:val="009346DF"/>
    <w:rsid w:val="009450AD"/>
    <w:rsid w:val="0094607A"/>
    <w:rsid w:val="00950A09"/>
    <w:rsid w:val="0096149D"/>
    <w:rsid w:val="009B522E"/>
    <w:rsid w:val="009D7E51"/>
    <w:rsid w:val="00A1046B"/>
    <w:rsid w:val="00A16FE2"/>
    <w:rsid w:val="00A25FB4"/>
    <w:rsid w:val="00A266FF"/>
    <w:rsid w:val="00A26F43"/>
    <w:rsid w:val="00A84AA7"/>
    <w:rsid w:val="00AC197D"/>
    <w:rsid w:val="00AD14AB"/>
    <w:rsid w:val="00AD432C"/>
    <w:rsid w:val="00AE050D"/>
    <w:rsid w:val="00AF23DD"/>
    <w:rsid w:val="00B07CB1"/>
    <w:rsid w:val="00B26C9C"/>
    <w:rsid w:val="00B60BDC"/>
    <w:rsid w:val="00B92782"/>
    <w:rsid w:val="00BA65FF"/>
    <w:rsid w:val="00BA7181"/>
    <w:rsid w:val="00BB05F9"/>
    <w:rsid w:val="00BB4B40"/>
    <w:rsid w:val="00BC33DB"/>
    <w:rsid w:val="00BE128C"/>
    <w:rsid w:val="00C02DA2"/>
    <w:rsid w:val="00C24E1F"/>
    <w:rsid w:val="00C36473"/>
    <w:rsid w:val="00C4301E"/>
    <w:rsid w:val="00C437B3"/>
    <w:rsid w:val="00C616F0"/>
    <w:rsid w:val="00C722AA"/>
    <w:rsid w:val="00C74543"/>
    <w:rsid w:val="00C866B2"/>
    <w:rsid w:val="00CA4EC1"/>
    <w:rsid w:val="00CA6104"/>
    <w:rsid w:val="00CB0F59"/>
    <w:rsid w:val="00CB441E"/>
    <w:rsid w:val="00D01020"/>
    <w:rsid w:val="00D054F1"/>
    <w:rsid w:val="00D37EC3"/>
    <w:rsid w:val="00D42566"/>
    <w:rsid w:val="00D949E8"/>
    <w:rsid w:val="00D96200"/>
    <w:rsid w:val="00DA1D0C"/>
    <w:rsid w:val="00DA48EA"/>
    <w:rsid w:val="00DA49B1"/>
    <w:rsid w:val="00DB4A9C"/>
    <w:rsid w:val="00DB58F1"/>
    <w:rsid w:val="00DF5141"/>
    <w:rsid w:val="00E033A5"/>
    <w:rsid w:val="00E05EC1"/>
    <w:rsid w:val="00E10766"/>
    <w:rsid w:val="00E1579D"/>
    <w:rsid w:val="00E20C97"/>
    <w:rsid w:val="00E3476C"/>
    <w:rsid w:val="00E366FF"/>
    <w:rsid w:val="00E42F71"/>
    <w:rsid w:val="00E43137"/>
    <w:rsid w:val="00E509C5"/>
    <w:rsid w:val="00E70D36"/>
    <w:rsid w:val="00E720D2"/>
    <w:rsid w:val="00E86D9C"/>
    <w:rsid w:val="00EB4F7B"/>
    <w:rsid w:val="00EB6EE5"/>
    <w:rsid w:val="00EB782C"/>
    <w:rsid w:val="00EC2251"/>
    <w:rsid w:val="00EE07DA"/>
    <w:rsid w:val="00EF68DD"/>
    <w:rsid w:val="00F23A07"/>
    <w:rsid w:val="00F40122"/>
    <w:rsid w:val="00F476F6"/>
    <w:rsid w:val="00F612B2"/>
    <w:rsid w:val="00F864E4"/>
    <w:rsid w:val="00F96D2F"/>
    <w:rsid w:val="00FB2013"/>
    <w:rsid w:val="00FB43C8"/>
    <w:rsid w:val="00FD5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474D"/>
  <w15:chartTrackingRefBased/>
  <w15:docId w15:val="{7BD58481-C4F7-45CD-921F-547C0750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locked/>
    <w:rsid w:val="00EF68DD"/>
    <w:pPr>
      <w:spacing w:before="240" w:after="120"/>
    </w:pPr>
    <w:rPr>
      <w:rFonts w:eastAsia="MS Mincho" w:cs="Times New Roman"/>
      <w:noProof/>
      <w:color w:val="00599C"/>
      <w:sz w:val="36"/>
      <w:szCs w:val="20"/>
    </w:rPr>
  </w:style>
  <w:style w:type="paragraph" w:customStyle="1" w:styleId="Sub-textHeading">
    <w:name w:val="Sub-text Heading"/>
    <w:basedOn w:val="Normal"/>
    <w:locked/>
    <w:rsid w:val="00EF68DD"/>
    <w:pPr>
      <w:spacing w:after="40"/>
      <w:outlineLvl w:val="1"/>
    </w:pPr>
    <w:rPr>
      <w:rFonts w:eastAsia="Times New Roman" w:cs="Times New Roman"/>
      <w:noProof/>
      <w:color w:val="009FDA"/>
      <w:szCs w:val="20"/>
    </w:rPr>
  </w:style>
  <w:style w:type="paragraph" w:customStyle="1" w:styleId="BodyCopy">
    <w:name w:val="Body Copy"/>
    <w:basedOn w:val="Normal"/>
    <w:locked/>
    <w:rsid w:val="00EF68DD"/>
    <w:pPr>
      <w:ind w:right="684"/>
    </w:pPr>
    <w:rPr>
      <w:rFonts w:eastAsia="MS Mincho" w:cs="Times New Roman"/>
      <w:noProof/>
      <w:color w:val="000000"/>
      <w:sz w:val="22"/>
      <w:szCs w:val="20"/>
    </w:rPr>
  </w:style>
  <w:style w:type="paragraph" w:customStyle="1" w:styleId="SpecificsDate">
    <w:name w:val="Specifics: Date"/>
    <w:basedOn w:val="Normal"/>
    <w:locked/>
    <w:rsid w:val="00EF68DD"/>
    <w:pPr>
      <w:spacing w:before="40" w:after="240"/>
      <w:outlineLvl w:val="0"/>
    </w:pPr>
    <w:rPr>
      <w:rFonts w:eastAsia="MS Mincho" w:cs="Times New Roman"/>
      <w:noProof/>
      <w:color w:val="00599C"/>
      <w:szCs w:val="20"/>
    </w:rPr>
  </w:style>
  <w:style w:type="paragraph" w:customStyle="1" w:styleId="MainHeading">
    <w:name w:val="Main Heading"/>
    <w:basedOn w:val="Normal"/>
    <w:locked/>
    <w:rsid w:val="00EF68DD"/>
    <w:pPr>
      <w:spacing w:before="40"/>
      <w:outlineLvl w:val="0"/>
    </w:pPr>
    <w:rPr>
      <w:rFonts w:eastAsia="MS Mincho" w:cs="Times New Roman"/>
      <w:noProof/>
      <w:color w:val="00599C"/>
      <w:sz w:val="48"/>
      <w:szCs w:val="20"/>
    </w:rPr>
  </w:style>
  <w:style w:type="paragraph" w:styleId="ListParagraph">
    <w:name w:val="List Paragraph"/>
    <w:basedOn w:val="Normal"/>
    <w:uiPriority w:val="34"/>
    <w:qFormat/>
    <w:rsid w:val="00195D09"/>
    <w:pPr>
      <w:ind w:left="720"/>
    </w:pPr>
    <w:rPr>
      <w:rFonts w:ascii="Calibri" w:hAnsi="Calibri" w:cs="Calibri"/>
      <w:sz w:val="22"/>
    </w:rPr>
  </w:style>
  <w:style w:type="character" w:styleId="Hyperlink">
    <w:name w:val="Hyperlink"/>
    <w:uiPriority w:val="99"/>
    <w:unhideWhenUsed/>
    <w:rsid w:val="00195D09"/>
    <w:rPr>
      <w:color w:val="0000FF"/>
      <w:u w:val="single"/>
    </w:rPr>
  </w:style>
  <w:style w:type="paragraph" w:styleId="NormalWeb">
    <w:name w:val="Normal (Web)"/>
    <w:basedOn w:val="Normal"/>
    <w:uiPriority w:val="99"/>
    <w:unhideWhenUsed/>
    <w:rsid w:val="00195D09"/>
    <w:pPr>
      <w:spacing w:before="100" w:beforeAutospacing="1" w:after="100" w:afterAutospacing="1" w:line="210" w:lineRule="atLeast"/>
    </w:pPr>
    <w:rPr>
      <w:rFonts w:eastAsia="Times New Roman"/>
      <w:color w:val="000000"/>
      <w:sz w:val="18"/>
      <w:szCs w:val="18"/>
    </w:rPr>
  </w:style>
  <w:style w:type="character" w:styleId="CommentReference">
    <w:name w:val="annotation reference"/>
    <w:basedOn w:val="DefaultParagraphFont"/>
    <w:uiPriority w:val="99"/>
    <w:semiHidden/>
    <w:unhideWhenUsed/>
    <w:rsid w:val="009346DF"/>
    <w:rPr>
      <w:sz w:val="16"/>
      <w:szCs w:val="16"/>
    </w:rPr>
  </w:style>
  <w:style w:type="paragraph" w:styleId="CommentText">
    <w:name w:val="annotation text"/>
    <w:basedOn w:val="Normal"/>
    <w:link w:val="CommentTextChar"/>
    <w:uiPriority w:val="99"/>
    <w:semiHidden/>
    <w:unhideWhenUsed/>
    <w:rsid w:val="009346DF"/>
    <w:rPr>
      <w:sz w:val="20"/>
      <w:szCs w:val="20"/>
    </w:rPr>
  </w:style>
  <w:style w:type="character" w:customStyle="1" w:styleId="CommentTextChar">
    <w:name w:val="Comment Text Char"/>
    <w:basedOn w:val="DefaultParagraphFont"/>
    <w:link w:val="CommentText"/>
    <w:uiPriority w:val="99"/>
    <w:semiHidden/>
    <w:rsid w:val="009346DF"/>
    <w:rPr>
      <w:sz w:val="20"/>
      <w:szCs w:val="20"/>
    </w:rPr>
  </w:style>
  <w:style w:type="paragraph" w:styleId="CommentSubject">
    <w:name w:val="annotation subject"/>
    <w:basedOn w:val="CommentText"/>
    <w:next w:val="CommentText"/>
    <w:link w:val="CommentSubjectChar"/>
    <w:uiPriority w:val="99"/>
    <w:semiHidden/>
    <w:unhideWhenUsed/>
    <w:rsid w:val="009346DF"/>
    <w:rPr>
      <w:b/>
      <w:bCs/>
    </w:rPr>
  </w:style>
  <w:style w:type="character" w:customStyle="1" w:styleId="CommentSubjectChar">
    <w:name w:val="Comment Subject Char"/>
    <w:basedOn w:val="CommentTextChar"/>
    <w:link w:val="CommentSubject"/>
    <w:uiPriority w:val="99"/>
    <w:semiHidden/>
    <w:rsid w:val="009346DF"/>
    <w:rPr>
      <w:b/>
      <w:bCs/>
      <w:sz w:val="20"/>
      <w:szCs w:val="20"/>
    </w:rPr>
  </w:style>
  <w:style w:type="paragraph" w:styleId="BalloonText">
    <w:name w:val="Balloon Text"/>
    <w:basedOn w:val="Normal"/>
    <w:link w:val="BalloonTextChar"/>
    <w:uiPriority w:val="99"/>
    <w:semiHidden/>
    <w:unhideWhenUsed/>
    <w:rsid w:val="009346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6DF"/>
    <w:rPr>
      <w:rFonts w:ascii="Segoe UI" w:hAnsi="Segoe UI" w:cs="Segoe UI"/>
      <w:sz w:val="18"/>
      <w:szCs w:val="18"/>
    </w:rPr>
  </w:style>
  <w:style w:type="paragraph" w:customStyle="1" w:styleId="Default">
    <w:name w:val="Default"/>
    <w:rsid w:val="00097BAB"/>
    <w:pPr>
      <w:autoSpaceDE w:val="0"/>
      <w:autoSpaceDN w:val="0"/>
      <w:adjustRightInd w:val="0"/>
    </w:pPr>
    <w:rPr>
      <w:color w:val="000000"/>
      <w:szCs w:val="24"/>
    </w:rPr>
  </w:style>
  <w:style w:type="paragraph" w:styleId="Revision">
    <w:name w:val="Revision"/>
    <w:hidden/>
    <w:uiPriority w:val="99"/>
    <w:semiHidden/>
    <w:rsid w:val="00815037"/>
  </w:style>
  <w:style w:type="character" w:customStyle="1" w:styleId="UnresolvedMention1">
    <w:name w:val="Unresolved Mention1"/>
    <w:basedOn w:val="DefaultParagraphFont"/>
    <w:uiPriority w:val="99"/>
    <w:semiHidden/>
    <w:unhideWhenUsed/>
    <w:rsid w:val="001035D0"/>
    <w:rPr>
      <w:color w:val="605E5C"/>
      <w:shd w:val="clear" w:color="auto" w:fill="E1DFDD"/>
    </w:rPr>
  </w:style>
  <w:style w:type="character" w:styleId="UnresolvedMention">
    <w:name w:val="Unresolved Mention"/>
    <w:basedOn w:val="DefaultParagraphFont"/>
    <w:uiPriority w:val="99"/>
    <w:semiHidden/>
    <w:unhideWhenUsed/>
    <w:rsid w:val="00EE0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48758">
      <w:bodyDiv w:val="1"/>
      <w:marLeft w:val="0"/>
      <w:marRight w:val="0"/>
      <w:marTop w:val="0"/>
      <w:marBottom w:val="0"/>
      <w:divBdr>
        <w:top w:val="none" w:sz="0" w:space="0" w:color="auto"/>
        <w:left w:val="none" w:sz="0" w:space="0" w:color="auto"/>
        <w:bottom w:val="none" w:sz="0" w:space="0" w:color="auto"/>
        <w:right w:val="none" w:sz="0" w:space="0" w:color="auto"/>
      </w:divBdr>
    </w:div>
    <w:div w:id="82655293">
      <w:bodyDiv w:val="1"/>
      <w:marLeft w:val="0"/>
      <w:marRight w:val="0"/>
      <w:marTop w:val="0"/>
      <w:marBottom w:val="0"/>
      <w:divBdr>
        <w:top w:val="none" w:sz="0" w:space="0" w:color="auto"/>
        <w:left w:val="none" w:sz="0" w:space="0" w:color="auto"/>
        <w:bottom w:val="none" w:sz="0" w:space="0" w:color="auto"/>
        <w:right w:val="none" w:sz="0" w:space="0" w:color="auto"/>
      </w:divBdr>
    </w:div>
    <w:div w:id="289868450">
      <w:bodyDiv w:val="1"/>
      <w:marLeft w:val="0"/>
      <w:marRight w:val="0"/>
      <w:marTop w:val="0"/>
      <w:marBottom w:val="0"/>
      <w:divBdr>
        <w:top w:val="none" w:sz="0" w:space="0" w:color="auto"/>
        <w:left w:val="none" w:sz="0" w:space="0" w:color="auto"/>
        <w:bottom w:val="none" w:sz="0" w:space="0" w:color="auto"/>
        <w:right w:val="none" w:sz="0" w:space="0" w:color="auto"/>
      </w:divBdr>
    </w:div>
    <w:div w:id="404839623">
      <w:bodyDiv w:val="1"/>
      <w:marLeft w:val="0"/>
      <w:marRight w:val="0"/>
      <w:marTop w:val="0"/>
      <w:marBottom w:val="0"/>
      <w:divBdr>
        <w:top w:val="none" w:sz="0" w:space="0" w:color="auto"/>
        <w:left w:val="none" w:sz="0" w:space="0" w:color="auto"/>
        <w:bottom w:val="none" w:sz="0" w:space="0" w:color="auto"/>
        <w:right w:val="none" w:sz="0" w:space="0" w:color="auto"/>
      </w:divBdr>
    </w:div>
    <w:div w:id="580066564">
      <w:bodyDiv w:val="1"/>
      <w:marLeft w:val="0"/>
      <w:marRight w:val="0"/>
      <w:marTop w:val="0"/>
      <w:marBottom w:val="0"/>
      <w:divBdr>
        <w:top w:val="none" w:sz="0" w:space="0" w:color="auto"/>
        <w:left w:val="none" w:sz="0" w:space="0" w:color="auto"/>
        <w:bottom w:val="none" w:sz="0" w:space="0" w:color="auto"/>
        <w:right w:val="none" w:sz="0" w:space="0" w:color="auto"/>
      </w:divBdr>
    </w:div>
    <w:div w:id="679434208">
      <w:bodyDiv w:val="1"/>
      <w:marLeft w:val="0"/>
      <w:marRight w:val="0"/>
      <w:marTop w:val="0"/>
      <w:marBottom w:val="0"/>
      <w:divBdr>
        <w:top w:val="none" w:sz="0" w:space="0" w:color="auto"/>
        <w:left w:val="none" w:sz="0" w:space="0" w:color="auto"/>
        <w:bottom w:val="none" w:sz="0" w:space="0" w:color="auto"/>
        <w:right w:val="none" w:sz="0" w:space="0" w:color="auto"/>
      </w:divBdr>
    </w:div>
    <w:div w:id="681778667">
      <w:bodyDiv w:val="1"/>
      <w:marLeft w:val="0"/>
      <w:marRight w:val="0"/>
      <w:marTop w:val="0"/>
      <w:marBottom w:val="0"/>
      <w:divBdr>
        <w:top w:val="none" w:sz="0" w:space="0" w:color="auto"/>
        <w:left w:val="none" w:sz="0" w:space="0" w:color="auto"/>
        <w:bottom w:val="none" w:sz="0" w:space="0" w:color="auto"/>
        <w:right w:val="none" w:sz="0" w:space="0" w:color="auto"/>
      </w:divBdr>
    </w:div>
    <w:div w:id="196476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rs.gov/pub/irs-drop/rp-20-23.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rs.gov/pub/irs-pdf/f1139.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rs.gov/pub/irs-pdf/f1045.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rs.gov/pub/irs-drop/n-20-26.pdf" TargetMode="External"/><Relationship Id="rId4" Type="http://schemas.openxmlformats.org/officeDocument/2006/relationships/numbering" Target="numbering.xml"/><Relationship Id="rId9" Type="http://schemas.openxmlformats.org/officeDocument/2006/relationships/hyperlink" Target="https://www.irs.gov/pub/irs-drop/rp-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B3A7C781E311429147333CAF5E4ED9" ma:contentTypeVersion="0" ma:contentTypeDescription="Create a new document." ma:contentTypeScope="" ma:versionID="9d6e4cae7359a1937991c887f8f8ad2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DE886-35E0-4914-AB7B-25C5C0498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8D6A49-ADF1-4B07-9E7C-B66657BC92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EF96AC-3D7C-41E2-9A98-C3E4B04BE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Devine Michael T</dc:creator>
  <cp:keywords/>
  <dc:description/>
  <cp:lastModifiedBy>Dinh Leuyen D</cp:lastModifiedBy>
  <cp:revision>2</cp:revision>
  <cp:lastPrinted>2020-03-04T16:21:00Z</cp:lastPrinted>
  <dcterms:created xsi:type="dcterms:W3CDTF">2020-04-09T21:11:00Z</dcterms:created>
  <dcterms:modified xsi:type="dcterms:W3CDTF">2020-04-09T21:11:00Z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0x010100FEB3A7C781E311429147333CAF5E4ED9</vt:lpwstr>
  </property>
</Properties>
</file>